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00" w:rsidRDefault="00EF5400" w:rsidP="00FF42A1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bookmarkEnd w:id="0"/>
      <w:r w:rsidRPr="00AF20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Пресс-выпуск</w:t>
      </w:r>
    </w:p>
    <w:p w:rsidR="00EF5400" w:rsidRDefault="00E45B31" w:rsidP="00FF42A1">
      <w:pPr>
        <w:keepNext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Индивидуальное предпринимательство</w:t>
      </w:r>
      <w:r w:rsidR="00FF42A1" w:rsidRPr="00FF42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="00EF5400" w:rsidRPr="002D6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Пензенской области в 2019 г.</w:t>
      </w:r>
    </w:p>
    <w:p w:rsidR="000F087D" w:rsidRPr="0077775D" w:rsidRDefault="006F360C" w:rsidP="00FF42A1">
      <w:pPr>
        <w:keepNext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36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E380596" wp14:editId="163B0A5C">
            <wp:simplePos x="0" y="0"/>
            <wp:positionH relativeFrom="column">
              <wp:posOffset>3289935</wp:posOffset>
            </wp:positionH>
            <wp:positionV relativeFrom="paragraph">
              <wp:posOffset>94615</wp:posOffset>
            </wp:positionV>
            <wp:extent cx="3086100" cy="197167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0C0" w:rsidRPr="0077775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F087D" w:rsidRPr="0077775D">
        <w:rPr>
          <w:rFonts w:ascii="Times New Roman" w:hAnsi="Times New Roman" w:cs="Times New Roman"/>
          <w:spacing w:val="-2"/>
          <w:sz w:val="28"/>
          <w:szCs w:val="28"/>
        </w:rPr>
        <w:t xml:space="preserve"> 2019</w:t>
      </w:r>
      <w:r w:rsidR="000F087D" w:rsidRPr="0077775D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0F087D" w:rsidRPr="0077775D">
        <w:rPr>
          <w:rFonts w:ascii="Times New Roman" w:hAnsi="Times New Roman" w:cs="Times New Roman"/>
          <w:spacing w:val="-2"/>
          <w:sz w:val="28"/>
          <w:szCs w:val="28"/>
        </w:rPr>
        <w:t>г.</w:t>
      </w:r>
      <w:r w:rsidR="00AF20C0" w:rsidRPr="007777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D1621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практически во всех сферах экономики Пензенской области</w:t>
      </w:r>
      <w:r w:rsidR="008D1621" w:rsidRPr="007777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5003" w:rsidRPr="0077775D">
        <w:rPr>
          <w:rFonts w:ascii="Times New Roman" w:hAnsi="Times New Roman" w:cs="Times New Roman"/>
          <w:spacing w:val="-2"/>
          <w:sz w:val="28"/>
          <w:szCs w:val="28"/>
        </w:rPr>
        <w:t xml:space="preserve">фактически </w:t>
      </w:r>
      <w:r w:rsidR="00041C68" w:rsidRPr="0077775D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осуществляли деятельность </w:t>
      </w:r>
      <w:r w:rsidR="00041C68" w:rsidRPr="0077775D">
        <w:rPr>
          <w:rFonts w:ascii="Times New Roman" w:hAnsi="Times New Roman" w:cs="Times New Roman"/>
          <w:spacing w:val="-4"/>
          <w:sz w:val="28"/>
          <w:szCs w:val="28"/>
        </w:rPr>
        <w:t>27050</w:t>
      </w:r>
      <w:r w:rsidR="00EF5400" w:rsidRPr="007777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5B31" w:rsidRPr="0077775D">
        <w:rPr>
          <w:rFonts w:ascii="Times New Roman" w:hAnsi="Times New Roman" w:cs="Times New Roman"/>
          <w:spacing w:val="-4"/>
          <w:sz w:val="28"/>
          <w:szCs w:val="28"/>
        </w:rPr>
        <w:t>индивидуальных предпринимател</w:t>
      </w:r>
      <w:r w:rsidR="0077775D" w:rsidRPr="0077775D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E25003" w:rsidRPr="007777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5400" w:rsidRPr="0077775D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AF20C0" w:rsidRPr="0077775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F5400" w:rsidRPr="0077775D">
        <w:rPr>
          <w:rFonts w:ascii="Times New Roman" w:hAnsi="Times New Roman" w:cs="Times New Roman"/>
          <w:spacing w:val="-2"/>
          <w:sz w:val="28"/>
          <w:szCs w:val="28"/>
        </w:rPr>
        <w:t xml:space="preserve"> 2018</w:t>
      </w:r>
      <w:r w:rsidR="00EF5400" w:rsidRPr="0077775D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EF5400" w:rsidRPr="0077775D">
        <w:rPr>
          <w:rFonts w:ascii="Times New Roman" w:hAnsi="Times New Roman" w:cs="Times New Roman"/>
          <w:spacing w:val="-2"/>
          <w:sz w:val="28"/>
          <w:szCs w:val="28"/>
        </w:rPr>
        <w:t xml:space="preserve">г. – </w:t>
      </w:r>
      <w:r w:rsidR="00041C68" w:rsidRPr="0077775D">
        <w:rPr>
          <w:rFonts w:ascii="Times New Roman" w:hAnsi="Times New Roman" w:cs="Times New Roman"/>
          <w:spacing w:val="-2"/>
          <w:sz w:val="28"/>
          <w:szCs w:val="28"/>
        </w:rPr>
        <w:t>26859 чел.</w:t>
      </w:r>
      <w:r w:rsidR="00EF5400" w:rsidRPr="0077775D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6E1ECA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AF20C0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последние </w:t>
      </w:r>
      <w:r w:rsidR="00503E38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пять</w:t>
      </w:r>
      <w:r w:rsidR="00AF20C0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лет </w:t>
      </w:r>
      <w:r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их </w:t>
      </w:r>
      <w:r w:rsidR="00E25003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количество</w:t>
      </w:r>
      <w:r w:rsidR="00AF20C0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r w:rsidR="008D1621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регионе </w:t>
      </w:r>
      <w:r w:rsidR="00AF20C0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увеличил</w:t>
      </w:r>
      <w:r w:rsidR="003575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AF20C0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сь на </w:t>
      </w:r>
      <w:r w:rsidR="00E20763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21,0</w:t>
      </w:r>
      <w:r w:rsidR="00AF20C0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%</w:t>
      </w:r>
      <w:r w:rsidR="00EC601C" w:rsidRPr="007777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E1ECA" w:rsidRPr="00807FA0" w:rsidRDefault="000F0273" w:rsidP="00FF42A1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A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A649629" wp14:editId="2FE1A3C6">
            <wp:simplePos x="0" y="0"/>
            <wp:positionH relativeFrom="column">
              <wp:posOffset>-5715</wp:posOffset>
            </wp:positionH>
            <wp:positionV relativeFrom="paragraph">
              <wp:posOffset>1545590</wp:posOffset>
            </wp:positionV>
            <wp:extent cx="6505575" cy="2828925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среде индивидуальных предпринимателей</w:t>
      </w:r>
      <w:r w:rsidR="00EF5400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7C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</w:t>
      </w:r>
      <w:r w:rsid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ьшую долю занимает </w:t>
      </w:r>
      <w:r w:rsidR="00051E7C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торговли – </w:t>
      </w:r>
      <w:r w:rsidR="000C07B3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7FA0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7B3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1A5946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51E7C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ИП.</w:t>
      </w:r>
      <w:r w:rsidR="001A5946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7C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по значимости</w:t>
      </w:r>
      <w:r w:rsidR="00EF5400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73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деятельности является </w:t>
      </w:r>
      <w:r w:rsidR="00C16D73" w:rsidRPr="00807FA0">
        <w:rPr>
          <w:rFonts w:ascii="Times New Roman" w:hAnsi="Times New Roman" w:cs="Times New Roman"/>
          <w:sz w:val="28"/>
          <w:szCs w:val="28"/>
        </w:rPr>
        <w:t>"</w:t>
      </w:r>
      <w:r w:rsidR="00C16D73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и хранение</w:t>
      </w:r>
      <w:r w:rsidR="00C16D73" w:rsidRPr="00807FA0">
        <w:rPr>
          <w:rFonts w:ascii="Times New Roman" w:hAnsi="Times New Roman" w:cs="Times New Roman"/>
          <w:sz w:val="28"/>
          <w:szCs w:val="28"/>
        </w:rPr>
        <w:t>"</w:t>
      </w:r>
      <w:r w:rsidR="00C16D73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946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345A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A0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C16D73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777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r w:rsidR="00A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73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07FA0">
        <w:rPr>
          <w:rFonts w:ascii="Times New Roman" w:hAnsi="Times New Roman" w:cs="Times New Roman"/>
          <w:sz w:val="28"/>
          <w:szCs w:val="28"/>
        </w:rPr>
        <w:t xml:space="preserve">деятельность в секторе </w:t>
      </w:r>
      <w:r w:rsidR="000706ED" w:rsidRPr="00807FA0">
        <w:rPr>
          <w:rFonts w:ascii="Times New Roman" w:hAnsi="Times New Roman" w:cs="Times New Roman"/>
          <w:sz w:val="28"/>
          <w:szCs w:val="28"/>
        </w:rPr>
        <w:t>"</w:t>
      </w:r>
      <w:r w:rsidR="00D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прочих видов услуг</w:t>
      </w:r>
      <w:r w:rsidR="00407F5B" w:rsidRPr="00807FA0">
        <w:rPr>
          <w:rFonts w:ascii="Times New Roman" w:hAnsi="Times New Roman" w:cs="Times New Roman"/>
          <w:sz w:val="28"/>
          <w:szCs w:val="28"/>
        </w:rPr>
        <w:t>"</w:t>
      </w:r>
      <w:r w:rsidR="00807FA0" w:rsidRPr="00807FA0">
        <w:rPr>
          <w:rFonts w:ascii="Times New Roman" w:hAnsi="Times New Roman" w:cs="Times New Roman"/>
          <w:sz w:val="28"/>
          <w:szCs w:val="28"/>
        </w:rPr>
        <w:t xml:space="preserve"> (</w:t>
      </w:r>
      <w:r w:rsidR="00AA6C92">
        <w:rPr>
          <w:rFonts w:ascii="Times New Roman" w:hAnsi="Times New Roman" w:cs="Times New Roman"/>
          <w:sz w:val="28"/>
          <w:szCs w:val="28"/>
        </w:rPr>
        <w:t>7,7</w:t>
      </w:r>
      <w:r w:rsidR="00807FA0" w:rsidRPr="00807FA0">
        <w:rPr>
          <w:rFonts w:ascii="Times New Roman" w:hAnsi="Times New Roman" w:cs="Times New Roman"/>
          <w:sz w:val="28"/>
          <w:szCs w:val="28"/>
        </w:rPr>
        <w:t>%)</w:t>
      </w:r>
      <w:r w:rsidR="00AA6C92">
        <w:rPr>
          <w:rFonts w:ascii="Times New Roman" w:hAnsi="Times New Roman" w:cs="Times New Roman"/>
          <w:sz w:val="28"/>
          <w:szCs w:val="28"/>
        </w:rPr>
        <w:t xml:space="preserve"> и </w:t>
      </w:r>
      <w:r w:rsidR="00AA6C92" w:rsidRPr="00807FA0">
        <w:rPr>
          <w:rFonts w:ascii="Times New Roman" w:hAnsi="Times New Roman" w:cs="Times New Roman"/>
          <w:sz w:val="28"/>
          <w:szCs w:val="28"/>
        </w:rPr>
        <w:t>"</w:t>
      </w:r>
      <w:r w:rsidR="00AA6C92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77775D" w:rsidRPr="0077775D">
        <w:rPr>
          <w:rFonts w:ascii="Times New Roman" w:hAnsi="Times New Roman" w:cs="Times New Roman"/>
          <w:sz w:val="28"/>
          <w:szCs w:val="28"/>
        </w:rPr>
        <w:t>"</w:t>
      </w:r>
      <w:r w:rsidR="0077775D">
        <w:rPr>
          <w:rFonts w:ascii="Times New Roman" w:hAnsi="Times New Roman" w:cs="Times New Roman"/>
          <w:sz w:val="28"/>
          <w:szCs w:val="28"/>
        </w:rPr>
        <w:t xml:space="preserve"> (6,0%)</w:t>
      </w:r>
      <w:r w:rsidRPr="00807FA0">
        <w:rPr>
          <w:rFonts w:ascii="Times New Roman" w:hAnsi="Times New Roman" w:cs="Times New Roman"/>
          <w:sz w:val="28"/>
          <w:szCs w:val="28"/>
        </w:rPr>
        <w:t>.</w:t>
      </w:r>
      <w:r w:rsidR="0000345A" w:rsidRPr="008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75D" w:rsidRPr="0077775D" w:rsidRDefault="0077775D" w:rsidP="0077775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E64E35" w:rsidRDefault="00104B0C" w:rsidP="00FF42A1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lang w:val="en-US"/>
        </w:rPr>
      </w:pPr>
      <w:r w:rsidRPr="001B7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2019 г.</w:t>
      </w:r>
      <w:r w:rsidR="000F0273" w:rsidRPr="001B7D55">
        <w:rPr>
          <w:rFonts w:ascii="Times New Roman" w:hAnsi="Times New Roman" w:cs="Times New Roman"/>
          <w:b/>
          <w:noProof/>
          <w:spacing w:val="-4"/>
          <w:sz w:val="20"/>
          <w:szCs w:val="20"/>
          <w:lang w:eastAsia="ru-RU"/>
        </w:rPr>
        <w:t xml:space="preserve"> </w:t>
      </w:r>
      <w:r w:rsidR="000F0273" w:rsidRPr="001B7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выручка от продажи товаров и оказан</w:t>
      </w:r>
      <w:r w:rsidR="00F36C9E" w:rsidRPr="001B7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ия</w:t>
      </w:r>
      <w:r w:rsidR="000F0273" w:rsidRPr="001B7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</w:t>
      </w:r>
      <w:r w:rsidR="00A7420D" w:rsidRPr="001B7D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6C9E" w:rsidRPr="001B7D5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F0273" w:rsidRPr="001B7D55">
        <w:rPr>
          <w:rFonts w:ascii="Times New Roman" w:hAnsi="Times New Roman" w:cs="Times New Roman"/>
          <w:spacing w:val="-4"/>
          <w:sz w:val="28"/>
          <w:szCs w:val="28"/>
        </w:rPr>
        <w:t>ндивидуальны</w:t>
      </w:r>
      <w:r w:rsidR="00F36C9E" w:rsidRPr="001B7D55">
        <w:rPr>
          <w:rFonts w:ascii="Times New Roman" w:hAnsi="Times New Roman" w:cs="Times New Roman"/>
          <w:spacing w:val="-4"/>
          <w:sz w:val="28"/>
          <w:szCs w:val="28"/>
        </w:rPr>
        <w:t>ми</w:t>
      </w:r>
      <w:r w:rsidR="000F0273" w:rsidRPr="001B7D55">
        <w:rPr>
          <w:rFonts w:ascii="Times New Roman" w:hAnsi="Times New Roman" w:cs="Times New Roman"/>
          <w:spacing w:val="-4"/>
          <w:sz w:val="28"/>
          <w:szCs w:val="28"/>
        </w:rPr>
        <w:t xml:space="preserve"> предпринимател</w:t>
      </w:r>
      <w:r w:rsidR="00F36C9E" w:rsidRPr="001B7D55">
        <w:rPr>
          <w:rFonts w:ascii="Times New Roman" w:hAnsi="Times New Roman" w:cs="Times New Roman"/>
          <w:spacing w:val="-4"/>
          <w:sz w:val="28"/>
          <w:szCs w:val="28"/>
        </w:rPr>
        <w:t>ями</w:t>
      </w:r>
      <w:r w:rsidR="000F0273" w:rsidRPr="001B7D55">
        <w:rPr>
          <w:rFonts w:ascii="Times New Roman" w:hAnsi="Times New Roman" w:cs="Times New Roman"/>
          <w:spacing w:val="-4"/>
          <w:sz w:val="28"/>
          <w:szCs w:val="28"/>
        </w:rPr>
        <w:t xml:space="preserve"> региона выросла </w:t>
      </w:r>
      <w:r w:rsidR="00F36C9E" w:rsidRPr="001B7D55">
        <w:rPr>
          <w:rFonts w:ascii="Times New Roman" w:hAnsi="Times New Roman" w:cs="Times New Roman"/>
          <w:spacing w:val="-4"/>
          <w:sz w:val="28"/>
          <w:szCs w:val="28"/>
        </w:rPr>
        <w:t>на 1,9% к уровню 2018 г. и</w:t>
      </w:r>
      <w:r w:rsidR="000F0273" w:rsidRPr="001B7D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7371" w:rsidRPr="001B7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составил</w:t>
      </w:r>
      <w:r w:rsidR="00F36C9E" w:rsidRPr="001B7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C87371" w:rsidRPr="001B7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F0273" w:rsidRPr="001B7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175,1</w:t>
      </w:r>
      <w:r w:rsidR="00C87371" w:rsidRPr="001B7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B7D55">
        <w:rPr>
          <w:rFonts w:ascii="Times New Roman" w:hAnsi="Times New Roman" w:cs="Times New Roman"/>
          <w:spacing w:val="-4"/>
          <w:sz w:val="28"/>
          <w:szCs w:val="28"/>
        </w:rPr>
        <w:t>мл</w:t>
      </w:r>
      <w:r w:rsidR="0049390A" w:rsidRPr="001B7D55">
        <w:rPr>
          <w:rFonts w:ascii="Times New Roman" w:hAnsi="Times New Roman" w:cs="Times New Roman"/>
          <w:spacing w:val="-4"/>
          <w:sz w:val="28"/>
          <w:szCs w:val="28"/>
        </w:rPr>
        <w:t>рд</w:t>
      </w:r>
      <w:r w:rsidRPr="001B7D55">
        <w:rPr>
          <w:rFonts w:ascii="Times New Roman" w:hAnsi="Times New Roman" w:cs="Times New Roman"/>
          <w:spacing w:val="-4"/>
          <w:sz w:val="28"/>
          <w:szCs w:val="28"/>
        </w:rPr>
        <w:t xml:space="preserve"> руб.</w:t>
      </w:r>
      <w:r w:rsidR="00F36C9E" w:rsidRPr="001B7D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6C9E" w:rsidRPr="00F36C9E">
        <w:rPr>
          <w:rFonts w:ascii="Times New Roman" w:hAnsi="Times New Roman"/>
          <w:spacing w:val="-4"/>
          <w:sz w:val="28"/>
        </w:rPr>
        <w:t xml:space="preserve">В расчете на одного предпринимателя она составила </w:t>
      </w:r>
      <w:r w:rsidR="00F36C9E" w:rsidRPr="001B7D55">
        <w:rPr>
          <w:rFonts w:ascii="Times New Roman" w:hAnsi="Times New Roman"/>
          <w:spacing w:val="-4"/>
          <w:sz w:val="28"/>
        </w:rPr>
        <w:t>6,5</w:t>
      </w:r>
      <w:r w:rsidR="00F36C9E" w:rsidRPr="00F36C9E">
        <w:rPr>
          <w:rFonts w:ascii="Times New Roman" w:hAnsi="Times New Roman"/>
          <w:spacing w:val="-4"/>
          <w:sz w:val="28"/>
        </w:rPr>
        <w:t xml:space="preserve"> млн руб. (в 2018 г. – 6,</w:t>
      </w:r>
      <w:r w:rsidR="001B7D55" w:rsidRPr="001B7D55">
        <w:rPr>
          <w:rFonts w:ascii="Times New Roman" w:hAnsi="Times New Roman"/>
          <w:spacing w:val="-4"/>
          <w:sz w:val="28"/>
        </w:rPr>
        <w:t>4</w:t>
      </w:r>
      <w:r w:rsidR="00F36C9E" w:rsidRPr="00F36C9E">
        <w:rPr>
          <w:rFonts w:ascii="Times New Roman" w:hAnsi="Times New Roman"/>
          <w:spacing w:val="-4"/>
          <w:sz w:val="28"/>
        </w:rPr>
        <w:t xml:space="preserve"> млн руб.). По этому показателю Пензенская область находится на </w:t>
      </w:r>
      <w:r w:rsidR="005B4607" w:rsidRPr="005B4607">
        <w:rPr>
          <w:rFonts w:ascii="Times New Roman" w:hAnsi="Times New Roman"/>
          <w:spacing w:val="-4"/>
          <w:sz w:val="28"/>
        </w:rPr>
        <w:t>5</w:t>
      </w:r>
      <w:r w:rsidR="00F36C9E" w:rsidRPr="00F36C9E">
        <w:rPr>
          <w:rFonts w:ascii="Times New Roman" w:hAnsi="Times New Roman"/>
          <w:spacing w:val="-4"/>
          <w:sz w:val="28"/>
        </w:rPr>
        <w:t xml:space="preserve"> месте среди регионов ПФО.</w:t>
      </w:r>
    </w:p>
    <w:p w:rsidR="00FF42A1" w:rsidRPr="00FF42A1" w:rsidRDefault="00FF42A1" w:rsidP="00FF42A1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FF42A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Е.О. Щанина, </w:t>
      </w:r>
    </w:p>
    <w:p w:rsidR="00FF42A1" w:rsidRPr="00FF42A1" w:rsidRDefault="00FF42A1" w:rsidP="00FF42A1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2A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ведущий специалист-эксперт </w:t>
      </w:r>
      <w:r w:rsidRPr="00FF42A1">
        <w:rPr>
          <w:rFonts w:ascii="Times New Roman" w:hAnsi="Times New Roman" w:cs="Times New Roman"/>
          <w:i/>
          <w:sz w:val="28"/>
          <w:szCs w:val="28"/>
        </w:rPr>
        <w:t>отдела статистики предприятий, региональных счетов и ведения Статистического регистра и общероссийских классификаторов</w:t>
      </w:r>
    </w:p>
    <w:sectPr w:rsidR="00FF42A1" w:rsidRPr="00FF42A1" w:rsidSect="0077775D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12" w:rsidRDefault="00477612" w:rsidP="00104B0C">
      <w:pPr>
        <w:spacing w:after="0" w:line="240" w:lineRule="auto"/>
      </w:pPr>
      <w:r>
        <w:separator/>
      </w:r>
    </w:p>
  </w:endnote>
  <w:endnote w:type="continuationSeparator" w:id="0">
    <w:p w:rsidR="00477612" w:rsidRDefault="00477612" w:rsidP="001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12" w:rsidRDefault="00477612" w:rsidP="00104B0C">
      <w:pPr>
        <w:spacing w:after="0" w:line="240" w:lineRule="auto"/>
      </w:pPr>
      <w:r>
        <w:separator/>
      </w:r>
    </w:p>
  </w:footnote>
  <w:footnote w:type="continuationSeparator" w:id="0">
    <w:p w:rsidR="00477612" w:rsidRDefault="00477612" w:rsidP="0010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B"/>
    <w:rsid w:val="0000345A"/>
    <w:rsid w:val="00040ABE"/>
    <w:rsid w:val="00041C68"/>
    <w:rsid w:val="00051E7C"/>
    <w:rsid w:val="000706ED"/>
    <w:rsid w:val="000A44E8"/>
    <w:rsid w:val="000C07B3"/>
    <w:rsid w:val="000D68A2"/>
    <w:rsid w:val="000F0273"/>
    <w:rsid w:val="000F087D"/>
    <w:rsid w:val="00104B0C"/>
    <w:rsid w:val="0012615D"/>
    <w:rsid w:val="001557FF"/>
    <w:rsid w:val="001A5946"/>
    <w:rsid w:val="001B7D55"/>
    <w:rsid w:val="00236394"/>
    <w:rsid w:val="00291E55"/>
    <w:rsid w:val="00292BCB"/>
    <w:rsid w:val="002B5304"/>
    <w:rsid w:val="002D6400"/>
    <w:rsid w:val="0035750E"/>
    <w:rsid w:val="003A5384"/>
    <w:rsid w:val="003A7730"/>
    <w:rsid w:val="003D1362"/>
    <w:rsid w:val="00407F5B"/>
    <w:rsid w:val="0044749B"/>
    <w:rsid w:val="00466ECF"/>
    <w:rsid w:val="00477612"/>
    <w:rsid w:val="0049390A"/>
    <w:rsid w:val="004C61DB"/>
    <w:rsid w:val="00503E38"/>
    <w:rsid w:val="005208AA"/>
    <w:rsid w:val="005268D3"/>
    <w:rsid w:val="00557FB5"/>
    <w:rsid w:val="005B4607"/>
    <w:rsid w:val="005C2180"/>
    <w:rsid w:val="005E764F"/>
    <w:rsid w:val="00616C0E"/>
    <w:rsid w:val="00690144"/>
    <w:rsid w:val="006A0B4E"/>
    <w:rsid w:val="006B2CB1"/>
    <w:rsid w:val="006C0663"/>
    <w:rsid w:val="006E1ECA"/>
    <w:rsid w:val="006F360C"/>
    <w:rsid w:val="00744010"/>
    <w:rsid w:val="0077775D"/>
    <w:rsid w:val="00807FA0"/>
    <w:rsid w:val="00882ADC"/>
    <w:rsid w:val="00884EA0"/>
    <w:rsid w:val="008D1621"/>
    <w:rsid w:val="008E4B35"/>
    <w:rsid w:val="00906536"/>
    <w:rsid w:val="00912AC3"/>
    <w:rsid w:val="0094234A"/>
    <w:rsid w:val="009A6D42"/>
    <w:rsid w:val="009E04A8"/>
    <w:rsid w:val="00A53E5C"/>
    <w:rsid w:val="00A7420D"/>
    <w:rsid w:val="00A75769"/>
    <w:rsid w:val="00A8138B"/>
    <w:rsid w:val="00AA675A"/>
    <w:rsid w:val="00AA6C92"/>
    <w:rsid w:val="00AF20C0"/>
    <w:rsid w:val="00B60DBA"/>
    <w:rsid w:val="00B6312A"/>
    <w:rsid w:val="00B64EF5"/>
    <w:rsid w:val="00B907A3"/>
    <w:rsid w:val="00BC1F33"/>
    <w:rsid w:val="00C16D73"/>
    <w:rsid w:val="00C34D53"/>
    <w:rsid w:val="00C83D82"/>
    <w:rsid w:val="00C87371"/>
    <w:rsid w:val="00C94B8A"/>
    <w:rsid w:val="00CA32F6"/>
    <w:rsid w:val="00CB64FB"/>
    <w:rsid w:val="00CD3584"/>
    <w:rsid w:val="00D039E4"/>
    <w:rsid w:val="00D1009C"/>
    <w:rsid w:val="00D117D6"/>
    <w:rsid w:val="00D235F6"/>
    <w:rsid w:val="00D2786C"/>
    <w:rsid w:val="00D3712F"/>
    <w:rsid w:val="00D52020"/>
    <w:rsid w:val="00D642B0"/>
    <w:rsid w:val="00DC575F"/>
    <w:rsid w:val="00E20763"/>
    <w:rsid w:val="00E25003"/>
    <w:rsid w:val="00E357CB"/>
    <w:rsid w:val="00E45B31"/>
    <w:rsid w:val="00E64E35"/>
    <w:rsid w:val="00EA6840"/>
    <w:rsid w:val="00EB6C71"/>
    <w:rsid w:val="00EC601C"/>
    <w:rsid w:val="00EE0B03"/>
    <w:rsid w:val="00EF5400"/>
    <w:rsid w:val="00F36C9E"/>
    <w:rsid w:val="00FA2B94"/>
    <w:rsid w:val="00FD1D80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54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5400"/>
  </w:style>
  <w:style w:type="paragraph" w:styleId="a5">
    <w:name w:val="footnote text"/>
    <w:basedOn w:val="a"/>
    <w:link w:val="a6"/>
    <w:semiHidden/>
    <w:rsid w:val="0010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04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04B0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54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5400"/>
  </w:style>
  <w:style w:type="paragraph" w:styleId="a5">
    <w:name w:val="footnote text"/>
    <w:basedOn w:val="a"/>
    <w:link w:val="a6"/>
    <w:semiHidden/>
    <w:rsid w:val="0010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04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04B0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индивидуальных предпринимателей, тыс. чел.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05850576817432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lumMod val="40000"/>
                <a:lumOff val="60000"/>
              </a:schemeClr>
            </a:gs>
            <a:gs pos="100000">
              <a:srgbClr val="00B0F0"/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95190209657528"/>
          <c:y val="0.21567644953471726"/>
          <c:w val="0.87595421054295919"/>
          <c:h val="0.6164795991410164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Лист1!$A$2:$A$6</c:f>
              <c:strCache>
                <c:ptCount val="1"/>
                <c:pt idx="0">
                  <c:v>2015 2016 2017 2018 2019</c:v>
                </c:pt>
              </c:strCache>
            </c:strRef>
          </c:tx>
          <c:spPr>
            <a:gradFill>
              <a:gsLst>
                <a:gs pos="0">
                  <a:srgbClr val="FF9999"/>
                </a:gs>
                <a:gs pos="50000">
                  <a:srgbClr val="FF7C80"/>
                </a:gs>
                <a:gs pos="100000">
                  <a:srgbClr val="FF5050"/>
                </a:gs>
              </a:gsLst>
              <a:lin ang="5400000" scaled="0"/>
            </a:gradFill>
            <a:ln>
              <a:solidFill>
                <a:srgbClr val="FF0000"/>
              </a:solidFill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 w="12700"/>
            </a:sp3d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FF9999"/>
                  </a:gs>
                  <a:gs pos="100000">
                    <a:srgbClr val="FF7C80"/>
                  </a:gs>
                  <a:gs pos="100000">
                    <a:srgbClr val="FF0000"/>
                  </a:gs>
                </a:gsLst>
                <a:lin ang="5400000" scaled="0"/>
              </a:gradFill>
              <a:ln>
                <a:solidFill>
                  <a:srgbClr val="FF0000"/>
                </a:solidFill>
              </a:ln>
              <a:scene3d>
                <a:camera prst="orthographicFront"/>
                <a:lightRig rig="threePt" dir="t">
                  <a:rot lat="0" lon="0" rev="0"/>
                </a:lightRig>
              </a:scene3d>
              <a:sp3d>
                <a:bevelT w="12700"/>
              </a:sp3d>
            </c:spPr>
          </c:dPt>
          <c:dLbls>
            <c:dLbl>
              <c:idx val="0"/>
              <c:layout>
                <c:manualLayout>
                  <c:x val="2.4229341658735189E-2"/>
                  <c:y val="-1.467834754980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46481108466093E-2"/>
                  <c:y val="-1.4678119780481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747299029481781E-2"/>
                  <c:y val="-8.6184681460272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448025392174815E-2"/>
                  <c:y val="-8.6175137198759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281084050540196E-2"/>
                  <c:y val="-8.6175137198759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04004004004004E-3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baseline="0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26</c:v>
                </c:pt>
                <c:pt idx="1">
                  <c:v>25.3</c:v>
                </c:pt>
                <c:pt idx="2">
                  <c:v>27.2</c:v>
                </c:pt>
                <c:pt idx="3">
                  <c:v>26.9</c:v>
                </c:pt>
                <c:pt idx="4">
                  <c:v>27.1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2"/>
        <c:gapDepth val="194"/>
        <c:shape val="box"/>
        <c:axId val="34997760"/>
        <c:axId val="35005184"/>
        <c:axId val="0"/>
      </c:bar3DChart>
      <c:catAx>
        <c:axId val="3499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005184"/>
        <c:crosses val="autoZero"/>
        <c:auto val="1"/>
        <c:lblAlgn val="ctr"/>
        <c:lblOffset val="100"/>
        <c:noMultiLvlLbl val="0"/>
      </c:catAx>
      <c:valAx>
        <c:axId val="35005184"/>
        <c:scaling>
          <c:orientation val="minMax"/>
          <c:max val="3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9977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Структура численности индивидуальных предпринимателей 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по видам экономической деятельности</a:t>
            </a:r>
          </a:p>
        </c:rich>
      </c:tx>
      <c:layout>
        <c:manualLayout>
          <c:xMode val="edge"/>
          <c:yMode val="edge"/>
          <c:x val="0.19866565066463465"/>
          <c:y val="2.739726027397260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48940331946062E-2"/>
          <c:y val="0.27089297543877305"/>
          <c:w val="0.4434342852092244"/>
          <c:h val="0.567823031705701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численности индивидуальных предпринимателей по видам экономической деятельности, процентов</c:v>
                </c:pt>
              </c:strCache>
            </c:strRef>
          </c:tx>
          <c:explosion val="20"/>
          <c:dPt>
            <c:idx val="0"/>
            <c:bubble3D val="0"/>
            <c:spPr>
              <a:gradFill>
                <a:gsLst>
                  <a:gs pos="0">
                    <a:srgbClr val="99CCFF"/>
                  </a:gs>
                  <a:gs pos="100000">
                    <a:srgbClr val="0070C0"/>
                  </a:gs>
                </a:gsLst>
                <a:lin ang="5400000" scaled="0"/>
              </a:gradFill>
            </c:spPr>
          </c:dPt>
          <c:dPt>
            <c:idx val="1"/>
            <c:bubble3D val="0"/>
            <c:explosion val="19"/>
            <c:spPr>
              <a:gradFill>
                <a:gsLst>
                  <a:gs pos="0">
                    <a:srgbClr val="FF9999"/>
                  </a:gs>
                  <a:gs pos="100000">
                    <a:srgbClr val="FF0000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33CC33"/>
                  </a:gs>
                  <a:gs pos="100000">
                    <a:srgbClr val="009900"/>
                  </a:gs>
                </a:gsLst>
                <a:lin ang="5400000" scaled="0"/>
              </a:gradFill>
            </c:spPr>
          </c:dPt>
          <c:dPt>
            <c:idx val="3"/>
            <c:bubble3D val="0"/>
            <c:explosion val="21"/>
            <c:spPr>
              <a:gradFill>
                <a:gsLst>
                  <a:gs pos="0">
                    <a:srgbClr val="FFFF66"/>
                  </a:gs>
                  <a:gs pos="100000">
                    <a:srgbClr val="FFFF00"/>
                  </a:gs>
                </a:gsLst>
                <a:lin ang="5400000" scaled="0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CCFFFF"/>
                  </a:gs>
                  <a:gs pos="100000">
                    <a:srgbClr val="00FFFF"/>
                  </a:gs>
                </a:gsLst>
                <a:lin ang="5400000" scaled="0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FFCCFF"/>
                  </a:gs>
                  <a:gs pos="100000">
                    <a:srgbClr val="FF00FF"/>
                  </a:gs>
                </a:gsLst>
                <a:lin ang="5400000" scaled="0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99FF66"/>
                  </a:gs>
                  <a:gs pos="100000">
                    <a:srgbClr val="66FF66"/>
                  </a:gs>
                </a:gsLst>
                <a:lin ang="540000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CCCCFF"/>
                  </a:gs>
                  <a:gs pos="100000">
                    <a:srgbClr val="9900CC"/>
                  </a:gs>
                </a:gsLst>
                <a:lin ang="5400000" scaled="0"/>
              </a:gradFill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6">
                      <a:lumMod val="75000"/>
                    </a:schemeClr>
                  </a:gs>
                  <a:gs pos="0">
                    <a:schemeClr val="accent6">
                      <a:lumMod val="60000"/>
                      <a:lumOff val="40000"/>
                    </a:schemeClr>
                  </a:gs>
                  <a:gs pos="10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0.10166177908113393"/>
                  <c:y val="-0.122109129330079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550342130987303E-2"/>
                  <c:y val="1.36986301369863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6986071629225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8.21917808219178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9239012855022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640119765088018E-2"/>
                  <c:y val="-1.58432911541009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460410557184751E-2"/>
                  <c:y val="-2.2218644394690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5415444770283482E-2"/>
                  <c:y val="8.519701810436635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Предоставление прочих видов услуг</c:v>
                </c:pt>
                <c:pt idx="3">
                  <c:v>Обрабатывающие производства </c:v>
                </c:pt>
                <c:pt idx="4">
                  <c:v>Деятельность по операциями с недвижимым имуществом</c:v>
                </c:pt>
                <c:pt idx="5">
                  <c:v>Деятельность профессиональная, научная и техническая</c:v>
                </c:pt>
                <c:pt idx="6">
                  <c:v>Строительство </c:v>
                </c:pt>
                <c:pt idx="7">
                  <c:v>Сельское, лесное хозяйство, охота, рыболовство и рыбоводство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0.437</c:v>
                </c:pt>
                <c:pt idx="1">
                  <c:v>0.13900000000000001</c:v>
                </c:pt>
                <c:pt idx="2">
                  <c:v>7.6999999999999999E-2</c:v>
                </c:pt>
                <c:pt idx="3">
                  <c:v>0.06</c:v>
                </c:pt>
                <c:pt idx="4">
                  <c:v>5.1999999999999998E-2</c:v>
                </c:pt>
                <c:pt idx="5">
                  <c:v>4.9000000000000002E-2</c:v>
                </c:pt>
                <c:pt idx="6">
                  <c:v>4.8000000000000001E-2</c:v>
                </c:pt>
                <c:pt idx="7">
                  <c:v>4.4999999999999998E-2</c:v>
                </c:pt>
                <c:pt idx="8">
                  <c:v>9.2999999999999999E-2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8363636363636364"/>
          <c:y val="0.18688301342523878"/>
          <c:w val="0.51420493992503147"/>
          <c:h val="0.8131169865747611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D03C-C468-4BEC-8F07-65504365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Щанина Екатерина Олеговна</dc:creator>
  <cp:lastModifiedBy>Хохлова Татьяна Рамазановна</cp:lastModifiedBy>
  <cp:revision>2</cp:revision>
  <cp:lastPrinted>2020-06-11T08:13:00Z</cp:lastPrinted>
  <dcterms:created xsi:type="dcterms:W3CDTF">2020-06-16T11:10:00Z</dcterms:created>
  <dcterms:modified xsi:type="dcterms:W3CDTF">2020-06-16T11:10:00Z</dcterms:modified>
</cp:coreProperties>
</file>